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AUDIT FINANCIER INDÉPENDANT</w:t>
      </w:r>
    </w:p>
    <w:p>
      <w:pPr>
        <w:pBdr>
          <w:bottom w:val="single" w:color="C4A265" w:sz="12"/>
        </w:pBdr>
        <w:spacing w:after="40"/>
      </w:pPr>
      <w:r>
        <w:rPr>
          <w:rFonts w:ascii="Arial" w:cs="Arial" w:eastAsia="Arial" w:hAnsi="Arial"/>
          <w:b/>
          <w:bCs/>
          <w:color w:val="C4A265"/>
          <w:sz w:val="30"/>
          <w:szCs w:val="30"/>
        </w:rPr>
        <w:t xml:space="preserve">KB FASHION  (קיי בי פאשן בע"מ)</w:t>
      </w:r>
    </w:p>
    <w:p>
      <w:pPr>
        <w:spacing w:after="4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20"/>
          <w:szCs w:val="20"/>
        </w:rPr>
        <w:t xml:space="preserve">Société n° 516917416 — chaîne de mode enfantine (13 magasins + e-commerce), Bnei Brak, Israël.</w:t>
      </w:r>
    </w:p>
    <w:p>
      <w:pPr>
        <w:spacing w:after="4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20"/>
          <w:szCs w:val="20"/>
        </w:rPr>
        <w:t xml:space="preserve">Exercice clos le 31 décembre 2025 (états signés NON audités) — données bancaires à mi-2026 — devise : ILS (₪).</w:t>
      </w:r>
    </w:p>
    <w:p>
      <w:pPr>
        <w:spacing w:after="200" w:before="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8"/>
          <w:szCs w:val="18"/>
        </w:rPr>
        <w:t xml:space="preserve">Rapport d'analyse à but d'aide à la décision. Posture : cabinet d'expertise comptable + master investisseur. Ton : direct, sans complaisance.</w:t>
      </w:r>
    </w:p>
    <w:p>
      <w:pPr>
        <w:shd w:fill="C00000" w:val="clear"/>
        <w:spacing w:after="60" w:before="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2"/>
          <w:szCs w:val="22"/>
        </w:rPr>
        <w:t xml:space="preserve">VERDICT</w:t>
      </w:r>
    </w:p>
    <w:p>
      <w:pPr>
        <w:shd w:fill="FCE4E4" w:val="clear"/>
        <w:spacing w:after="200" w:before="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00000"/>
          <w:sz w:val="20"/>
          <w:szCs w:val="20"/>
        </w:rPr>
        <w:t xml:space="preserve">Entreprise commercialement viable et en forte croissance (CA +81% en 2025, +58% début 2026, marge brute 57%), posée sur un bilan dangereusement cassé : capitaux propres quasi nuls et probablement NÉGATIFS après retraitements, liquidité de crise (ratio rapide 0,16), dette bancaire ~20x les fonds propres, crédits Leumi EN DÉFAUT depuis mai 2026, survie assurée par les seuls apports des associés (liquidation d'or). Ce n'est ni un simple « acheter » ni un simple « éviter » : c'est un dossier de RECAPITALISATION.</w:t>
      </w:r>
    </w:p>
    <w:p>
      <w:pPr>
        <w:pBdr>
          <w:bottom w:val="single" w:color="C4A265" w:sz="6"/>
        </w:pBdr>
        <w:spacing w:after="120" w:before="260"/>
      </w:pPr>
      <w:r>
        <w:rPr>
          <w:rFonts w:ascii="Arial" w:cs="Arial" w:eastAsia="Arial" w:hAnsi="Arial"/>
          <w:b/>
          <w:bCs/>
          <w:color w:val="C4A265"/>
          <w:sz w:val="24"/>
          <w:szCs w:val="24"/>
        </w:rPr>
        <w:t xml:space="preserve">1.  </w:t>
      </w: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Résumé exécutif</w:t>
      </w:r>
    </w:p>
    <w:p>
      <w:pPr>
        <w:spacing w:after="12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KB Fashion a changé de dimension en deux ans. En 2024, c'était une petite structure quasiment sans dette bancaire (~167 k ₪ de découvert net), réalisant 4,4 M ₪ de chiffre d'affaires et terminant l'exercice en PERTE (~607 k ₪ selon la balance générale). En 2025-2026, la société a presque doublé son activité (8,0 M ₪ en 2025) en ouvrant des magasins, en rachetant le fonds « Kids Basic » et en gonflant ses stocks. Cette expansion n'a PAS été autofinancée : elle a été payée par ~3,2 M ₪ de dette bancaire nouvelle et ~1,3 M ₪ d'apports supplémentaires des associés.</w:t>
      </w:r>
    </w:p>
    <w:p>
      <w:pPr>
        <w:spacing w:after="12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Le moteur commercial fonctionne (croissance réelle, marge brute saine). Le problème est entièrement financier : la structure de bilan est insoutenable et la société ne tient que grâce à la trésorerie personnelle de ses trois associés, injectée notamment par liquidation d'or. Les premiers impayés bancaires sont apparus en mai 2026.</w:t>
      </w:r>
    </w:p>
    <w:p>
      <w:pPr>
        <w:spacing w:after="60" w:before="8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19"/>
          <w:szCs w:val="19"/>
        </w:rPr>
        <w:t xml:space="preserve">Chiffres clés 2025 vs benchmark sectoriel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700"/>
        <w:gridCol w:w="2200"/>
        <w:gridCol w:w="3060"/>
      </w:tblGrid>
      <w:tr>
        <w:tc>
          <w:tcPr>
            <w:tcW w:type="dxa" w:w="24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Indicateur</w:t>
            </w:r>
          </w:p>
        </w:tc>
        <w:tc>
          <w:tcPr>
            <w:tcW w:type="dxa" w:w="17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KB Fashion</w:t>
            </w:r>
          </w:p>
        </w:tc>
        <w:tc>
          <w:tcPr>
            <w:tcW w:type="dxa" w:w="22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Benchmark</w:t>
            </w:r>
          </w:p>
        </w:tc>
        <w:tc>
          <w:tcPr>
            <w:tcW w:type="dxa" w:w="306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Lecture</w:t>
            </w:r>
          </w:p>
        </w:tc>
      </w:tr>
      <w:tr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Chiffre d'affaires 2025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7 971 029</w:t>
            </w:r>
          </w:p>
        </w:tc>
        <w:tc>
          <w:tcPr>
            <w:tcW w:type="dxa" w:w="2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2024 : 4,39 M</w:t>
            </w:r>
          </w:p>
        </w:tc>
        <w:tc>
          <w:tcPr>
            <w:tcW w:type="dxa" w:w="30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5623"/>
                <w:sz w:val="17"/>
                <w:szCs w:val="17"/>
              </w:rPr>
              <w:t xml:space="preserve">+81% — réel, confirmé TVA</w:t>
            </w:r>
          </w:p>
        </w:tc>
      </w:tr>
      <w:tr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Marge brute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56,9%</w:t>
            </w:r>
          </w:p>
        </w:tc>
        <w:tc>
          <w:tcPr>
            <w:tcW w:type="dxa" w:w="2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50–65%</w:t>
            </w:r>
          </w:p>
        </w:tc>
        <w:tc>
          <w:tcPr>
            <w:tcW w:type="dxa" w:w="30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5623"/>
                <w:sz w:val="17"/>
                <w:szCs w:val="17"/>
              </w:rPr>
              <w:t xml:space="preserve">Saine</w:t>
            </w:r>
          </w:p>
        </w:tc>
      </w:tr>
      <w:tr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Marge opérationnelle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4,8%</w:t>
            </w:r>
          </w:p>
        </w:tc>
        <w:tc>
          <w:tcPr>
            <w:tcW w:type="dxa" w:w="2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~10,8%</w:t>
            </w:r>
          </w:p>
        </w:tc>
        <w:tc>
          <w:tcPr>
            <w:tcW w:type="dxa" w:w="30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4A265"/>
                <w:sz w:val="17"/>
                <w:szCs w:val="17"/>
              </w:rPr>
              <w:t xml:space="preserve">Faible</w:t>
            </w:r>
          </w:p>
        </w:tc>
      </w:tr>
      <w:tr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Marge nette publiée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2,5%</w:t>
            </w:r>
          </w:p>
        </w:tc>
        <w:tc>
          <w:tcPr>
            <w:tcW w:type="dxa" w:w="2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~3,9% moyenne</w:t>
            </w:r>
          </w:p>
        </w:tc>
        <w:tc>
          <w:tcPr>
            <w:tcW w:type="dxa" w:w="30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4A265"/>
                <w:sz w:val="17"/>
                <w:szCs w:val="17"/>
              </w:rPr>
              <w:t xml:space="preserve">Sous la moyenne</w:t>
            </w:r>
          </w:p>
        </w:tc>
      </w:tr>
      <w:tr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Marge nette retraitée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≈ 0 / négative</w:t>
            </w:r>
          </w:p>
        </w:tc>
        <w:tc>
          <w:tcPr>
            <w:tcW w:type="dxa" w:w="2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8–15% « bon »</w:t>
            </w:r>
          </w:p>
        </w:tc>
        <w:tc>
          <w:tcPr>
            <w:tcW w:type="dxa" w:w="30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Effacée par l'amortissement</w:t>
            </w:r>
          </w:p>
        </w:tc>
      </w:tr>
      <w:tr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Rotation des stocks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2,3x</w:t>
            </w:r>
          </w:p>
        </w:tc>
        <w:tc>
          <w:tcPr>
            <w:tcW w:type="dxa" w:w="2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5–7x</w:t>
            </w:r>
          </w:p>
        </w:tc>
        <w:tc>
          <w:tcPr>
            <w:tcW w:type="dxa" w:w="30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Cash piégé</w:t>
            </w:r>
          </w:p>
        </w:tc>
      </w:tr>
      <w:tr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Liquidité générale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0,88</w:t>
            </w:r>
          </w:p>
        </w:tc>
        <w:tc>
          <w:tcPr>
            <w:tcW w:type="dxa" w:w="2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&gt; 1,2</w:t>
            </w:r>
          </w:p>
        </w:tc>
        <w:tc>
          <w:tcPr>
            <w:tcW w:type="dxa" w:w="30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FR négatif</w:t>
            </w:r>
          </w:p>
        </w:tc>
      </w:tr>
      <w:tr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Liquidité réduite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0,16</w:t>
            </w:r>
          </w:p>
        </w:tc>
        <w:tc>
          <w:tcPr>
            <w:tcW w:type="dxa" w:w="2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&gt; 1,0</w:t>
            </w:r>
          </w:p>
        </w:tc>
        <w:tc>
          <w:tcPr>
            <w:tcW w:type="dxa" w:w="30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CRISE</w:t>
            </w:r>
          </w:p>
        </w:tc>
      </w:tr>
      <w:tr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Dette bancaire / FP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19,8x</w:t>
            </w:r>
          </w:p>
        </w:tc>
        <w:tc>
          <w:tcPr>
            <w:tcW w:type="dxa" w:w="2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&lt; 2x</w:t>
            </w:r>
          </w:p>
        </w:tc>
        <w:tc>
          <w:tcPr>
            <w:tcW w:type="dxa" w:w="30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Sur-endettement</w:t>
            </w:r>
          </w:p>
        </w:tc>
      </w:tr>
    </w:tbl>
    <w:p>
      <w:pPr>
        <w:pBdr>
          <w:bottom w:val="single" w:color="C4A265" w:sz="6"/>
        </w:pBdr>
        <w:spacing w:after="120" w:before="260"/>
      </w:pPr>
      <w:r>
        <w:rPr>
          <w:rFonts w:ascii="Arial" w:cs="Arial" w:eastAsia="Arial" w:hAnsi="Arial"/>
          <w:b/>
          <w:bCs/>
          <w:color w:val="C4A265"/>
          <w:sz w:val="24"/>
          <w:szCs w:val="24"/>
        </w:rPr>
        <w:t xml:space="preserve">2.  </w:t>
      </w: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Présentation de la société et trajectoire</w:t>
      </w:r>
    </w:p>
    <w:p>
      <w:pPr>
        <w:spacing w:after="12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KB Fashion exploite une chaîne de magasins de vêtements pour enfants destinée principalement à la clientèle haredi (Bnei Brak, Jérusalem, Beit Shemesh, Kiryat Sefer, Rabbi Akiva, Kiryat Ata…), complétée par un site e-commerce. Le modèle mêle magasins en propre et points franchisés (« זכיינים »), avec un approvisionnement majoritairement importé de Chine. La société compte trois associés actifs — Aharon Prober, Hani Shtern et Zvika Kahana — et emploie de l'ordre de 42 personnes mi-2026 (contre ~30 en 2024).</w:t>
      </w:r>
    </w:p>
    <w:p>
      <w:pPr>
        <w:spacing w:after="60" w:before="8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19"/>
          <w:szCs w:val="19"/>
        </w:rPr>
        <w:t xml:space="preserve">Trajectoire financière en 3 temps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400"/>
        <w:gridCol w:w="2400"/>
        <w:gridCol w:w="2660"/>
      </w:tblGrid>
      <w:tr>
        <w:tc>
          <w:tcPr>
            <w:tcW w:type="dxa" w:w="19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/>
            </w:r>
          </w:p>
        </w:tc>
        <w:tc>
          <w:tcPr>
            <w:tcW w:type="dxa" w:w="24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2024</w:t>
            </w:r>
          </w:p>
        </w:tc>
        <w:tc>
          <w:tcPr>
            <w:tcW w:type="dxa" w:w="24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2025</w:t>
            </w:r>
          </w:p>
        </w:tc>
        <w:tc>
          <w:tcPr>
            <w:tcW w:type="dxa" w:w="266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2026 (4 mois)</w:t>
            </w:r>
          </w:p>
        </w:tc>
      </w:tr>
      <w:tr>
        <w:tc>
          <w:tcPr>
            <w:tcW w:type="dxa" w:w="19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Chiffre d'affaires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4,39 M ₪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7,97 M ₪</w:t>
            </w:r>
          </w:p>
        </w:tc>
        <w:tc>
          <w:tcPr>
            <w:tcW w:type="dxa" w:w="26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4,45 M ₪ (+58% YoY)</w:t>
            </w:r>
          </w:p>
        </w:tc>
      </w:tr>
      <w:tr>
        <w:tc>
          <w:tcPr>
            <w:tcW w:type="dxa" w:w="19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Résultat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Perte ~ -0,61 M ₪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Profit +0,20 M ₪*</w:t>
            </w:r>
          </w:p>
        </w:tc>
        <w:tc>
          <w:tcPr>
            <w:tcW w:type="dxa" w:w="26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En croissance</w:t>
            </w:r>
          </w:p>
        </w:tc>
      </w:tr>
      <w:tr>
        <w:tc>
          <w:tcPr>
            <w:tcW w:type="dxa" w:w="19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Dette bancaire nette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~ -0,17 M ₪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~ -3,9 M ₪ (fin)</w:t>
            </w:r>
          </w:p>
        </w:tc>
        <w:tc>
          <w:tcPr>
            <w:tcW w:type="dxa" w:w="26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~ -3,18 M ₪ (mi-26)</w:t>
            </w:r>
          </w:p>
        </w:tc>
      </w:tr>
      <w:tr>
        <w:tc>
          <w:tcPr>
            <w:tcW w:type="dxa" w:w="19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Apports associés cumulés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~1,64 M ₪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~2,87 M ₪</w:t>
            </w:r>
          </w:p>
        </w:tc>
        <w:tc>
          <w:tcPr>
            <w:tcW w:type="dxa" w:w="26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~3,43 M ₪ (avec prêts)</w:t>
            </w:r>
          </w:p>
        </w:tc>
      </w:tr>
      <w:tr>
        <w:tc>
          <w:tcPr>
            <w:tcW w:type="dxa" w:w="19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Immobilisations brutes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0,34 M ₪</w:t>
            </w:r>
          </w:p>
        </w:tc>
        <w:tc>
          <w:tcPr>
            <w:tcW w:type="dxa" w:w="2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1,61 M ₪</w:t>
            </w:r>
          </w:p>
        </w:tc>
        <w:tc>
          <w:tcPr>
            <w:tcW w:type="dxa" w:w="26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 w:before="60" w:line="276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95959"/>
          <w:sz w:val="18"/>
          <w:szCs w:val="18"/>
        </w:rPr>
        <w:t xml:space="preserve">* Le résultat 2025 publié (+200 k ₪) tient uniquement à l'absence d'amortissement (voir §4). La lecture essentielle : entre 2024 et mi-2026, la société a multiplié son bilan par ~3 et créé l'intégralité de sa dette bancaire pour financer une expansion rapide (ouvertures de magasins, rachat du fonds Kids Basic pour 222 k ₪, constitution de stock). La croissance est réelle ; son financement ne l'est pas durablement.</w:t>
      </w:r>
    </w:p>
    <w:p>
      <w:pPr>
        <w:pBdr>
          <w:bottom w:val="single" w:color="C4A265" w:sz="6"/>
        </w:pBdr>
        <w:spacing w:after="120" w:before="260"/>
      </w:pPr>
      <w:r>
        <w:rPr>
          <w:rFonts w:ascii="Arial" w:cs="Arial" w:eastAsia="Arial" w:hAnsi="Arial"/>
          <w:b/>
          <w:bCs/>
          <w:color w:val="C4A265"/>
          <w:sz w:val="24"/>
          <w:szCs w:val="24"/>
        </w:rPr>
        <w:t xml:space="preserve">3.  </w:t>
      </w: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Analyse du compte de résultat 2025</w:t>
      </w:r>
    </w:p>
    <w:p>
      <w:pPr>
        <w:spacing w:after="12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Le compte de résultat publié est, en apparence, celui d'une PME rentable. En réalité, sa rentabilité est marginale et surévaluée.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900"/>
        <w:gridCol w:w="1300"/>
        <w:gridCol w:w="2760"/>
      </w:tblGrid>
      <w:tr>
        <w:tc>
          <w:tcPr>
            <w:tcW w:type="dxa" w:w="34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Compte de résultat 2025 (₪)</w:t>
            </w:r>
          </w:p>
        </w:tc>
        <w:tc>
          <w:tcPr>
            <w:tcW w:type="dxa" w:w="19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Publié</w:t>
            </w:r>
          </w:p>
        </w:tc>
        <w:tc>
          <w:tcPr>
            <w:tcW w:type="dxa" w:w="13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% CA</w:t>
            </w:r>
          </w:p>
        </w:tc>
        <w:tc>
          <w:tcPr>
            <w:tcW w:type="dxa" w:w="276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Retraité</w:t>
            </w:r>
          </w:p>
        </w:tc>
      </w:tr>
      <w:tr>
        <w:tc>
          <w:tcPr>
            <w:tcW w:type="dxa" w:w="3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Chiffre d'affaires</w:t>
            </w:r>
          </w:p>
        </w:tc>
        <w:tc>
          <w:tcPr>
            <w:tcW w:type="dxa" w:w="1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7 971 029</w:t>
            </w:r>
          </w:p>
        </w:tc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100%</w:t>
            </w:r>
          </w:p>
        </w:tc>
        <w:tc>
          <w:tcPr>
            <w:tcW w:type="dxa" w:w="2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7 971 029</w:t>
            </w:r>
          </w:p>
        </w:tc>
      </w:tr>
      <w:tr>
        <w:tc>
          <w:tcPr>
            <w:tcW w:type="dxa" w:w="3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Coût des ventes</w:t>
            </w:r>
          </w:p>
        </w:tc>
        <w:tc>
          <w:tcPr>
            <w:tcW w:type="dxa" w:w="1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(3 435 243)</w:t>
            </w:r>
          </w:p>
        </w:tc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43,1%</w:t>
            </w:r>
          </w:p>
        </w:tc>
        <w:tc>
          <w:tcPr>
            <w:tcW w:type="dxa" w:w="2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(3 435 243)</w:t>
            </w:r>
          </w:p>
        </w:tc>
      </w:tr>
      <w:tr>
        <w:tc>
          <w:tcPr>
            <w:tcW w:type="dxa" w:w="34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Marge brute</w:t>
            </w:r>
          </w:p>
        </w:tc>
        <w:tc>
          <w:tcPr>
            <w:tcW w:type="dxa" w:w="19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4 535 786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56,9%</w:t>
            </w:r>
          </w:p>
        </w:tc>
        <w:tc>
          <w:tcPr>
            <w:tcW w:type="dxa" w:w="276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4 535 786</w:t>
            </w:r>
          </w:p>
        </w:tc>
      </w:tr>
      <w:tr>
        <w:tc>
          <w:tcPr>
            <w:tcW w:type="dxa" w:w="3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Charges de vente</w:t>
            </w:r>
          </w:p>
        </w:tc>
        <w:tc>
          <w:tcPr>
            <w:tcW w:type="dxa" w:w="1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(1 819 458)</w:t>
            </w:r>
          </w:p>
        </w:tc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22,8%</w:t>
            </w:r>
          </w:p>
        </w:tc>
        <w:tc>
          <w:tcPr>
            <w:tcW w:type="dxa" w:w="2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(1 819 458)</w:t>
            </w:r>
          </w:p>
        </w:tc>
      </w:tr>
      <w:tr>
        <w:tc>
          <w:tcPr>
            <w:tcW w:type="dxa" w:w="3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Charges administratives</w:t>
            </w:r>
          </w:p>
        </w:tc>
        <w:tc>
          <w:tcPr>
            <w:tcW w:type="dxa" w:w="1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(2 331 244)</w:t>
            </w:r>
          </w:p>
        </w:tc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29,2%</w:t>
            </w:r>
          </w:p>
        </w:tc>
        <w:tc>
          <w:tcPr>
            <w:tcW w:type="dxa" w:w="2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(2 331 244)</w:t>
            </w:r>
          </w:p>
        </w:tc>
      </w:tr>
      <w:tr>
        <w:tc>
          <w:tcPr>
            <w:tcW w:type="dxa" w:w="3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Amortissement économique</w:t>
            </w:r>
          </w:p>
        </w:tc>
        <w:tc>
          <w:tcPr>
            <w:tcW w:type="dxa" w:w="1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–</w:t>
            </w:r>
          </w:p>
        </w:tc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–</w:t>
            </w:r>
          </w:p>
        </w:tc>
        <w:tc>
          <w:tcPr>
            <w:tcW w:type="dxa" w:w="2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(170 000)</w:t>
            </w:r>
          </w:p>
        </w:tc>
      </w:tr>
      <w:tr>
        <w:tc>
          <w:tcPr>
            <w:tcW w:type="dxa" w:w="34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Résultat d'exploitation</w:t>
            </w:r>
          </w:p>
        </w:tc>
        <w:tc>
          <w:tcPr>
            <w:tcW w:type="dxa" w:w="19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385 084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4,8%</w:t>
            </w:r>
          </w:p>
        </w:tc>
        <w:tc>
          <w:tcPr>
            <w:tcW w:type="dxa" w:w="276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215 084</w:t>
            </w:r>
          </w:p>
        </w:tc>
      </w:tr>
      <w:tr>
        <w:tc>
          <w:tcPr>
            <w:tcW w:type="dxa" w:w="3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Charges financières</w:t>
            </w:r>
          </w:p>
        </w:tc>
        <w:tc>
          <w:tcPr>
            <w:tcW w:type="dxa" w:w="1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(125 255)</w:t>
            </w:r>
          </w:p>
        </w:tc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1,6%</w:t>
            </w:r>
          </w:p>
        </w:tc>
        <w:tc>
          <w:tcPr>
            <w:tcW w:type="dxa" w:w="2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(250 510)</w:t>
            </w:r>
          </w:p>
        </w:tc>
      </w:tr>
      <w:tr>
        <w:tc>
          <w:tcPr>
            <w:tcW w:type="dxa" w:w="34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Résultat avant impôt</w:t>
            </w:r>
          </w:p>
        </w:tc>
        <w:tc>
          <w:tcPr>
            <w:tcW w:type="dxa" w:w="19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259 829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3,3%</w:t>
            </w:r>
          </w:p>
        </w:tc>
        <w:tc>
          <w:tcPr>
            <w:tcW w:type="dxa" w:w="276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(35 426)</w:t>
            </w:r>
          </w:p>
        </w:tc>
      </w:tr>
      <w:tr>
        <w:tc>
          <w:tcPr>
            <w:tcW w:type="dxa" w:w="34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Impôt (23%)</w:t>
            </w:r>
          </w:p>
        </w:tc>
        <w:tc>
          <w:tcPr>
            <w:tcW w:type="dxa" w:w="1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(59 761)</w:t>
            </w:r>
          </w:p>
        </w:tc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–</w:t>
            </w:r>
          </w:p>
        </w:tc>
        <w:tc>
          <w:tcPr>
            <w:tcW w:type="dxa" w:w="2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34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RÉSULTAT NET</w:t>
            </w:r>
          </w:p>
        </w:tc>
        <w:tc>
          <w:tcPr>
            <w:tcW w:type="dxa" w:w="19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200 068</w:t>
            </w:r>
          </w:p>
        </w:tc>
        <w:tc>
          <w:tcPr>
            <w:tcW w:type="dxa" w:w="13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7"/>
                <w:szCs w:val="17"/>
              </w:rPr>
              <w:t xml:space="preserve">2,5%</w:t>
            </w:r>
          </w:p>
        </w:tc>
        <w:tc>
          <w:tcPr>
            <w:tcW w:type="dxa" w:w="276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8"/>
                <w:szCs w:val="18"/>
              </w:rPr>
              <w:t xml:space="preserve">(35 426)</w:t>
            </w:r>
          </w:p>
        </w:tc>
      </w:tr>
    </w:tbl>
    <w:p>
      <w:pPr>
        <w:spacing w:after="60" w:before="12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Deux retraitements suffisent à renverser l'image :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Amortissement : la société ne comptabilise AUCUN amortissement. Ses immobilisations (1,61 M ₪) sont portées en valeur brute, avec des amortissements cumulés dérisoires (26,9 k ₪). Un amortissement économique normal (leasehold ~10%, équipement ~15%, fonds de commerce) représente ~170 k ₪/an, qui n'apparaissent nulle part.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Coût de la dette : 125 k ₪ de charges financières sur ~4 M ₪ de dette = ~2,5%, manifestement sous-évalué. La dette a explosé en fin d'année 2025 et en 2026 ; en année pleine, avec les pénalités à 14,85% sur les arriérés, le coût réel est au moins le double.</w:t>
      </w:r>
    </w:p>
    <w:p>
      <w:pPr>
        <w:shd w:fill="D9E1F2" w:val="clear"/>
        <w:spacing w:after="120" w:before="6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20"/>
          <w:szCs w:val="20"/>
        </w:rPr>
        <w:t xml:space="preserve">Conclusion : retraité de ces deux éléments, l'exercice 2025 passe d'un « profit » de 200 k ₪ à une PERTE d'environ 35 k ₪. La rentabilité réelle est, au mieux, à l'équilibre.</w:t>
      </w:r>
    </w:p>
    <w:p>
      <w:pPr>
        <w:pBdr>
          <w:bottom w:val="single" w:color="C4A265" w:sz="6"/>
        </w:pBdr>
        <w:spacing w:after="120" w:before="260"/>
      </w:pPr>
      <w:r>
        <w:rPr>
          <w:rFonts w:ascii="Arial" w:cs="Arial" w:eastAsia="Arial" w:hAnsi="Arial"/>
          <w:b/>
          <w:bCs/>
          <w:color w:val="C4A265"/>
          <w:sz w:val="24"/>
          <w:szCs w:val="24"/>
        </w:rPr>
        <w:t xml:space="preserve">4.  </w:t>
      </w: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Analyse du bilan et retraitements</w:t>
      </w:r>
    </w:p>
    <w:p>
      <w:pPr>
        <w:spacing w:after="12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Le bilan est le cœur du problème. Présenté à 8,67 M ₪ avec 200 k ₪ de fonds propres, il devient négatif après des retraitements prudents.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700"/>
        <w:gridCol w:w="1700"/>
        <w:gridCol w:w="1760"/>
      </w:tblGrid>
      <w:tr>
        <w:tc>
          <w:tcPr>
            <w:tcW w:type="dxa" w:w="42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 bilan publié à l'actif net économique (₪)</w:t>
            </w:r>
          </w:p>
        </w:tc>
        <w:tc>
          <w:tcPr>
            <w:tcW w:type="dxa" w:w="17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Publié</w:t>
            </w:r>
          </w:p>
        </w:tc>
        <w:tc>
          <w:tcPr>
            <w:tcW w:type="dxa" w:w="17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Ajustement</w:t>
            </w:r>
          </w:p>
        </w:tc>
        <w:tc>
          <w:tcPr>
            <w:tcW w:type="dxa" w:w="176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Retraité</w:t>
            </w:r>
          </w:p>
        </w:tc>
      </w:tr>
      <w:tr>
        <w:tc>
          <w:tcPr>
            <w:tcW w:type="dxa" w:w="4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Actif circulant (dont stock 2,27 M, avances fournisseurs 2,12 M)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7 059 591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(655 000)</w:t>
            </w:r>
          </w:p>
        </w:tc>
        <w:tc>
          <w:tcPr>
            <w:tcW w:type="dxa" w:w="1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6 404 591</w:t>
            </w:r>
          </w:p>
        </w:tc>
      </w:tr>
      <w:tr>
        <w:tc>
          <w:tcPr>
            <w:tcW w:type="dxa" w:w="4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Immobilisations (valeur brute, non amorties)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1 605 653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(682 000)</w:t>
            </w:r>
          </w:p>
        </w:tc>
        <w:tc>
          <w:tcPr>
            <w:tcW w:type="dxa" w:w="1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923 653</w:t>
            </w:r>
          </w:p>
        </w:tc>
      </w:tr>
      <w:tr>
        <w:tc>
          <w:tcPr>
            <w:tcW w:type="dxa" w:w="4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6"/>
                <w:szCs w:val="16"/>
              </w:rPr>
              <w:t xml:space="preserve">dont rattrapage d'amortissement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(460 000)</w:t>
            </w:r>
          </w:p>
        </w:tc>
        <w:tc>
          <w:tcPr>
            <w:tcW w:type="dxa" w:w="1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6"/>
                <w:szCs w:val="16"/>
              </w:rPr>
              <w:t xml:space="preserve">dont « achat de fonds » (goodwill) à déprécier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(222 000)</w:t>
            </w:r>
          </w:p>
        </w:tc>
        <w:tc>
          <w:tcPr>
            <w:tcW w:type="dxa" w:w="1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TOTAL ACTIF</w:t>
            </w:r>
          </w:p>
        </w:tc>
        <w:tc>
          <w:tcPr>
            <w:tcW w:type="dxa" w:w="17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8 665 244</w:t>
            </w:r>
          </w:p>
        </w:tc>
        <w:tc>
          <w:tcPr>
            <w:tcW w:type="dxa" w:w="17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(1 337 000)</w:t>
            </w:r>
          </w:p>
        </w:tc>
        <w:tc>
          <w:tcPr>
            <w:tcW w:type="dxa" w:w="176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7 328 244</w:t>
            </w:r>
          </w:p>
        </w:tc>
      </w:tr>
      <w:tr>
        <w:tc>
          <w:tcPr>
            <w:tcW w:type="dxa" w:w="4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Passif circulant (dont dette bancaire CT 3,56 M)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8 060 255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–</w:t>
            </w:r>
          </w:p>
        </w:tc>
        <w:tc>
          <w:tcPr>
            <w:tcW w:type="dxa" w:w="1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8 060 255</w:t>
            </w:r>
          </w:p>
        </w:tc>
      </w:tr>
      <w:tr>
        <w:tc>
          <w:tcPr>
            <w:tcW w:type="dxa" w:w="4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Dettes long terme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404 921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–</w:t>
            </w:r>
          </w:p>
        </w:tc>
        <w:tc>
          <w:tcPr>
            <w:tcW w:type="dxa" w:w="1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404 921</w:t>
            </w:r>
          </w:p>
        </w:tc>
      </w:tr>
      <w:tr>
        <w:tc>
          <w:tcPr>
            <w:tcW w:type="dxa" w:w="4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6"/>
                <w:szCs w:val="16"/>
              </w:rPr>
              <w:t xml:space="preserve">dont comptes courants associés (quasi-FP)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2 874 595</w:t>
            </w:r>
          </w:p>
        </w:tc>
        <w:tc>
          <w:tcPr>
            <w:tcW w:type="dxa" w:w="1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7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2 874 595</w:t>
            </w:r>
          </w:p>
        </w:tc>
      </w:tr>
      <w:tr>
        <w:tc>
          <w:tcPr>
            <w:tcW w:type="dxa" w:w="42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8"/>
                <w:szCs w:val="18"/>
              </w:rPr>
              <w:t xml:space="preserve">FONDS PROPRES</w:t>
            </w:r>
          </w:p>
        </w:tc>
        <w:tc>
          <w:tcPr>
            <w:tcW w:type="dxa" w:w="17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200 068</w:t>
            </w:r>
          </w:p>
        </w:tc>
        <w:tc>
          <w:tcPr>
            <w:tcW w:type="dxa" w:w="17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(682 000)</w:t>
            </w:r>
          </w:p>
        </w:tc>
        <w:tc>
          <w:tcPr>
            <w:tcW w:type="dxa" w:w="176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8"/>
                <w:szCs w:val="18"/>
              </w:rPr>
              <w:t xml:space="preserve">(481 932)</w:t>
            </w:r>
          </w:p>
        </w:tc>
      </w:tr>
    </w:tbl>
    <w:p>
      <w:pPr>
        <w:spacing w:after="60" w:before="12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19"/>
          <w:szCs w:val="19"/>
        </w:rPr>
        <w:t xml:space="preserve">Les trois faiblesses du bilan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Immobilisations non amorties + goodwill non déprécié : l'actif immobilisé est surévalué d'au moins 0,68 M ₪. À lui seul, ce retraitement fait basculer les fonds propres en territoire négatif.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Actifs circulants de qualité incertaine : 4,4 M ₪ sont immobilisés dans le stock (2,27 M, rotation 2,3x) et les avances fournisseurs en Chine (2,12 M). Une décote prudente s'impose, d'autant qu'une incohérence de réconciliation (~1,2 M ₪) entre la variation de stock du bilan et la note coût des ventes laisse craindre une survalorisation du stock de clôture.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Continuité des fonds propres douteuse : la balance 2024 affiche une PERTE de ~607 k ₪, mais les états 2025 ouvrent avec un report à nouveau de ZÉRO. Cette « remise à zéro » n'est pas expliquée et fragilise la fiabilité du chiffre de fonds propres.</w:t>
      </w:r>
    </w:p>
    <w:p>
      <w:pPr>
        <w:shd w:fill="D9E1F2" w:val="clear"/>
        <w:spacing w:after="120" w:before="6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20"/>
          <w:szCs w:val="20"/>
        </w:rPr>
        <w:t xml:space="preserve">Lecture : les fonds propres réels sont négatifs (~ -0,48 M ₪). Les 2,87 M ₪ de comptes courants associés sont, de fait, la seule couche de quasi-fonds propres qui empêche le bilan de s'effondrer.</w:t>
      </w:r>
    </w:p>
    <w:p>
      <w:pPr>
        <w:pBdr>
          <w:bottom w:val="single" w:color="C4A265" w:sz="6"/>
        </w:pBdr>
        <w:spacing w:after="120" w:before="260"/>
      </w:pPr>
      <w:r>
        <w:rPr>
          <w:rFonts w:ascii="Arial" w:cs="Arial" w:eastAsia="Arial" w:hAnsi="Arial"/>
          <w:b/>
          <w:bCs/>
          <w:color w:val="C4A265"/>
          <w:sz w:val="24"/>
          <w:szCs w:val="24"/>
        </w:rPr>
        <w:t xml:space="preserve">5.  </w:t>
      </w: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Liquidité, dette bancaire et financement par les associés</w:t>
      </w:r>
    </w:p>
    <w:p>
      <w:pPr>
        <w:spacing w:after="12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C'est ici que le dossier devient critique. La trésorerie est de 116 k ₪ face à 8,06 M ₪ de dettes à court terme. Les actifs réellement liquides (cash + clients) couvrent 16% du passif courant.</w:t>
      </w:r>
    </w:p>
    <w:p>
      <w:pPr>
        <w:spacing w:after="60" w:before="6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19"/>
          <w:szCs w:val="19"/>
        </w:rPr>
        <w:t xml:space="preserve">Dette bancaire à mi-2026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100"/>
        <w:gridCol w:w="4660"/>
      </w:tblGrid>
      <w:tr>
        <w:tc>
          <w:tcPr>
            <w:tcW w:type="dxa" w:w="26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Banque</w:t>
            </w:r>
          </w:p>
        </w:tc>
        <w:tc>
          <w:tcPr>
            <w:tcW w:type="dxa" w:w="21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Solde net (₪)</w:t>
            </w:r>
          </w:p>
        </w:tc>
        <w:tc>
          <w:tcPr>
            <w:tcW w:type="dxa" w:w="466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Points saillants</w:t>
            </w:r>
          </w:p>
        </w:tc>
      </w:tr>
      <w:tr>
        <w:tc>
          <w:tcPr>
            <w:tcW w:type="dxa" w:w="26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3864"/>
                <w:sz w:val="18"/>
                <w:szCs w:val="18"/>
              </w:rPr>
              <w:t xml:space="preserve">Leumi (14/06/2026)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8"/>
                <w:szCs w:val="18"/>
              </w:rPr>
              <w:t xml:space="preserve">(802 418)</w:t>
            </w:r>
          </w:p>
        </w:tc>
        <w:tc>
          <w:tcPr>
            <w:tcW w:type="dxa" w:w="46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6"/>
                <w:szCs w:val="16"/>
              </w:rPr>
              <w:t xml:space="preserve">10 prêts à terme (688 k, 8,25–10,24%) + 11 crédits EN DÉFAUT à 14,85% ouverts mai-juin 2026</w:t>
            </w:r>
          </w:p>
        </w:tc>
      </w:tr>
      <w:tr>
        <w:tc>
          <w:tcPr>
            <w:tcW w:type="dxa" w:w="26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3864"/>
                <w:sz w:val="18"/>
                <w:szCs w:val="18"/>
              </w:rPr>
              <w:t xml:space="preserve">Mizrahi (31/05/2026)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8"/>
                <w:szCs w:val="18"/>
              </w:rPr>
              <w:t xml:space="preserve">(2 373 615)</w:t>
            </w:r>
          </w:p>
        </w:tc>
        <w:tc>
          <w:tcPr>
            <w:tcW w:type="dxa" w:w="46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Prêts import 1,20 M, lignes « ניידת » 0,72 M, découvert 0,41 M, escompte 0,10 M, Amex 0,11 M</w:t>
            </w:r>
          </w:p>
        </w:tc>
      </w:tr>
      <w:tr>
        <w:tc>
          <w:tcPr>
            <w:tcW w:type="dxa" w:w="26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TOTAL net</w:t>
            </w:r>
          </w:p>
        </w:tc>
        <w:tc>
          <w:tcPr>
            <w:tcW w:type="dxa" w:w="21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(3 176 033)</w:t>
            </w:r>
          </w:p>
        </w:tc>
        <w:tc>
          <w:tcPr>
            <w:tcW w:type="dxa" w:w="466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6"/>
                <w:szCs w:val="16"/>
              </w:rPr>
              <w:t xml:space="preserve">Dette brute ~3,35 M ₪. Capacité d'emprunt additionnelle : nulle</w:t>
            </w:r>
          </w:p>
        </w:tc>
      </w:tr>
    </w:tbl>
    <w:p>
      <w:pPr>
        <w:spacing w:after="60" w:before="12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00000"/>
          <w:sz w:val="19"/>
          <w:szCs w:val="19"/>
        </w:rPr>
        <w:t xml:space="preserve">Le financement par les associés : la pièce maîtresse</w:t>
      </w:r>
    </w:p>
    <w:p>
      <w:pPr>
        <w:spacing w:after="12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Le registre des apports révèle l'essentiel du dossier : la société ne s'autofinance pas. Sur 2024-2026, les trois associés ont injecté ~2,96 M ₪ de trésorerie personnelle (jusqu'à ~3,43 M ₪ en incluant des prêts), en très grande partie par LIQUIDATION D'OR reversée aux banques (« זהב למזרחי / ללאומי »). Les flux sont continus et récents (encore en avril 2026).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2100"/>
        <w:gridCol w:w="2100"/>
        <w:gridCol w:w="2260"/>
      </w:tblGrid>
      <w:tr>
        <w:tc>
          <w:tcPr>
            <w:tcW w:type="dxa" w:w="29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Associé</w:t>
            </w:r>
          </w:p>
        </w:tc>
        <w:tc>
          <w:tcPr>
            <w:tcW w:type="dxa" w:w="21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Apports nets (₪)</w:t>
            </w:r>
          </w:p>
        </w:tc>
        <w:tc>
          <w:tcPr>
            <w:tcW w:type="dxa" w:w="21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Total avec prêts (₪)</w:t>
            </w:r>
          </w:p>
        </w:tc>
        <w:tc>
          <w:tcPr>
            <w:tcW w:type="dxa" w:w="226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3864"/>
                <w:sz w:val="18"/>
                <w:szCs w:val="18"/>
              </w:rPr>
              <w:t xml:space="preserve">Aharon Prober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1 022 382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1 217 382</w:t>
            </w:r>
          </w:p>
        </w:tc>
        <w:tc>
          <w:tcPr>
            <w:tcW w:type="dxa" w:w="22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3864"/>
                <w:sz w:val="18"/>
                <w:szCs w:val="18"/>
              </w:rPr>
              <w:t xml:space="preserve">Hani Shtern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929 874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979 274</w:t>
            </w:r>
          </w:p>
        </w:tc>
        <w:tc>
          <w:tcPr>
            <w:tcW w:type="dxa" w:w="22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9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F3864"/>
                <w:sz w:val="18"/>
                <w:szCs w:val="18"/>
              </w:rPr>
              <w:t xml:space="preserve">Zvika Kahana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1 007 655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1 230 255</w:t>
            </w:r>
          </w:p>
        </w:tc>
        <w:tc>
          <w:tcPr>
            <w:tcW w:type="dxa" w:w="22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6"/>
                <w:szCs w:val="16"/>
              </w:rPr>
              <w:t xml:space="preserve">majorit. or → Mizrahi</w:t>
            </w:r>
          </w:p>
        </w:tc>
      </w:tr>
      <w:tr>
        <w:tc>
          <w:tcPr>
            <w:tcW w:type="dxa" w:w="29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TOTAL</w:t>
            </w:r>
          </w:p>
        </w:tc>
        <w:tc>
          <w:tcPr>
            <w:tcW w:type="dxa" w:w="21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2 959 911</w:t>
            </w:r>
          </w:p>
        </w:tc>
        <w:tc>
          <w:tcPr>
            <w:tcW w:type="dxa" w:w="21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3 426 911</w:t>
            </w:r>
          </w:p>
        </w:tc>
        <w:tc>
          <w:tcPr>
            <w:tcW w:type="dxa" w:w="226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6"/>
                <w:szCs w:val="16"/>
              </w:rPr>
              <w:t xml:space="preserve">quasi-fonds propres de fait</w:t>
            </w:r>
          </w:p>
        </w:tc>
      </w:tr>
    </w:tbl>
    <w:p>
      <w:pPr>
        <w:pBdr>
          <w:bottom w:val="single" w:color="C4A265" w:sz="6"/>
        </w:pBdr>
        <w:spacing w:after="120" w:before="260"/>
      </w:pPr>
      <w:r>
        <w:rPr>
          <w:rFonts w:ascii="Arial" w:cs="Arial" w:eastAsia="Arial" w:hAnsi="Arial"/>
          <w:b/>
          <w:bCs/>
          <w:color w:val="C4A265"/>
          <w:sz w:val="24"/>
          <w:szCs w:val="24"/>
        </w:rPr>
        <w:t xml:space="preserve">6.  </w:t>
      </w: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Scénarios 2026 et valorisation</w:t>
      </w:r>
    </w:p>
    <w:p>
      <w:pPr>
        <w:spacing w:after="12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Trois scénarios encadrent l'année 2026, suivis d'un cadre de valorisation pour un investisseur. Hypothèses détaillées et modifiables dans le classeur Excel joint (onglet « Scénarios »).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050"/>
        <w:gridCol w:w="2050"/>
        <w:gridCol w:w="2560"/>
      </w:tblGrid>
      <w:tr>
        <w:tc>
          <w:tcPr>
            <w:tcW w:type="dxa" w:w="270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2026 estimé (₪)</w:t>
            </w:r>
          </w:p>
        </w:tc>
        <w:tc>
          <w:tcPr>
            <w:tcW w:type="dxa" w:w="205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Bear</w:t>
            </w:r>
          </w:p>
        </w:tc>
        <w:tc>
          <w:tcPr>
            <w:tcW w:type="dxa" w:w="205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Base</w:t>
            </w:r>
          </w:p>
        </w:tc>
        <w:tc>
          <w:tcPr>
            <w:tcW w:type="dxa" w:w="2560"/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Bull</w:t>
            </w:r>
          </w:p>
        </w:tc>
      </w:tr>
      <w:tr>
        <w:tc>
          <w:tcPr>
            <w:tcW w:type="dxa" w:w="2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Croissance CA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+5%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+30%</w:t>
            </w:r>
          </w:p>
        </w:tc>
        <w:tc>
          <w:tcPr>
            <w:tcW w:type="dxa" w:w="25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+55%</w:t>
            </w:r>
          </w:p>
        </w:tc>
      </w:tr>
      <w:tr>
        <w:tc>
          <w:tcPr>
            <w:tcW w:type="dxa" w:w="27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Chiffre d'affaires</w:t>
            </w:r>
          </w:p>
        </w:tc>
        <w:tc>
          <w:tcPr>
            <w:tcW w:type="dxa" w:w="205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8 369 580</w:t>
            </w:r>
          </w:p>
        </w:tc>
        <w:tc>
          <w:tcPr>
            <w:tcW w:type="dxa" w:w="205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10 362 338</w:t>
            </w:r>
          </w:p>
        </w:tc>
        <w:tc>
          <w:tcPr>
            <w:tcW w:type="dxa" w:w="256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12 355 095</w:t>
            </w:r>
          </w:p>
        </w:tc>
      </w:tr>
      <w:tr>
        <w:tc>
          <w:tcPr>
            <w:tcW w:type="dxa" w:w="2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Résultat net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(404 456)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284 120</w:t>
            </w:r>
          </w:p>
        </w:tc>
        <w:tc>
          <w:tcPr>
            <w:tcW w:type="dxa" w:w="25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936 445</w:t>
            </w:r>
          </w:p>
        </w:tc>
      </w:tr>
      <w:tr>
        <w:tc>
          <w:tcPr>
            <w:tcW w:type="dxa" w:w="2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Marge nette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-4,8%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2,7%</w:t>
            </w:r>
          </w:p>
        </w:tc>
        <w:tc>
          <w:tcPr>
            <w:tcW w:type="dxa" w:w="25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7,6%</w:t>
            </w:r>
          </w:p>
        </w:tc>
      </w:tr>
      <w:tr>
        <w:tc>
          <w:tcPr>
            <w:tcW w:type="dxa" w:w="2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EBITDA proxy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125 544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828 987</w:t>
            </w:r>
          </w:p>
        </w:tc>
        <w:tc>
          <w:tcPr>
            <w:tcW w:type="dxa" w:w="25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1 606 162</w:t>
            </w:r>
          </w:p>
        </w:tc>
      </w:tr>
      <w:tr>
        <w:tc>
          <w:tcPr>
            <w:tcW w:type="dxa" w:w="2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Valeur d'entreprise (3–5x)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376 631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3 315 948</w:t>
            </w:r>
          </w:p>
        </w:tc>
        <w:tc>
          <w:tcPr>
            <w:tcW w:type="dxa" w:w="25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8 030 812</w:t>
            </w:r>
          </w:p>
        </w:tc>
      </w:tr>
      <w:tr>
        <w:tc>
          <w:tcPr>
            <w:tcW w:type="dxa" w:w="2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– Dette bancaire nette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(3 176 033)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(3 176 033)</w:t>
            </w:r>
          </w:p>
        </w:tc>
        <w:tc>
          <w:tcPr>
            <w:tcW w:type="dxa" w:w="25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(3 176 033)</w:t>
            </w:r>
          </w:p>
        </w:tc>
      </w:tr>
      <w:tr>
        <w:tc>
          <w:tcPr>
            <w:tcW w:type="dxa" w:w="27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= Valeur des fonds propres</w:t>
            </w:r>
          </w:p>
        </w:tc>
        <w:tc>
          <w:tcPr>
            <w:tcW w:type="dxa" w:w="205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7"/>
                <w:szCs w:val="17"/>
              </w:rPr>
              <w:t xml:space="preserve">(2 799 402)</w:t>
            </w:r>
          </w:p>
        </w:tc>
        <w:tc>
          <w:tcPr>
            <w:tcW w:type="dxa" w:w="205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139 915</w:t>
            </w:r>
          </w:p>
        </w:tc>
        <w:tc>
          <w:tcPr>
            <w:tcW w:type="dxa" w:w="256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4 854 779</w:t>
            </w:r>
          </w:p>
        </w:tc>
      </w:tr>
      <w:tr>
        <w:tc>
          <w:tcPr>
            <w:tcW w:type="dxa" w:w="27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7"/>
                <w:szCs w:val="17"/>
              </w:rPr>
              <w:t xml:space="preserve">– Comptes courants associés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(2 874 595)</w:t>
            </w:r>
          </w:p>
        </w:tc>
        <w:tc>
          <w:tcPr>
            <w:tcW w:type="dxa" w:w="205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(2 874 595)</w:t>
            </w:r>
          </w:p>
        </w:tc>
        <w:tc>
          <w:tcPr>
            <w:tcW w:type="dxa" w:w="256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00000"/>
                <w:sz w:val="17"/>
                <w:szCs w:val="17"/>
              </w:rPr>
              <w:t xml:space="preserve">(2 874 595)</w:t>
            </w:r>
          </w:p>
        </w:tc>
      </w:tr>
      <w:tr>
        <w:tc>
          <w:tcPr>
            <w:tcW w:type="dxa" w:w="270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= Equity résiduel après associés</w:t>
            </w:r>
          </w:p>
        </w:tc>
        <w:tc>
          <w:tcPr>
            <w:tcW w:type="dxa" w:w="205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7"/>
                <w:szCs w:val="17"/>
              </w:rPr>
              <w:t xml:space="preserve">(5 673 997)</w:t>
            </w:r>
          </w:p>
        </w:tc>
        <w:tc>
          <w:tcPr>
            <w:tcW w:type="dxa" w:w="205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0000"/>
                <w:sz w:val="17"/>
                <w:szCs w:val="17"/>
              </w:rPr>
              <w:t xml:space="preserve">(2 734 680)</w:t>
            </w:r>
          </w:p>
        </w:tc>
        <w:tc>
          <w:tcPr>
            <w:tcW w:type="dxa" w:w="2560"/>
            <w:shd w:fill="F2F2F2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line="248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7"/>
                <w:szCs w:val="17"/>
              </w:rPr>
              <w:t xml:space="preserve">1 980 184</w:t>
            </w:r>
          </w:p>
        </w:tc>
      </w:tr>
    </w:tbl>
    <w:p>
      <w:pPr>
        <w:shd w:fill="D9E1F2" w:val="clear"/>
        <w:spacing w:after="120" w:before="8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3864"/>
          <w:sz w:val="19"/>
          <w:szCs w:val="19"/>
        </w:rPr>
        <w:t xml:space="preserve">Lecture : en Bear, la valeur des fonds propres est nettement négative (l'EV ne couvre même pas la dette bancaire). En Base, elle est à peine positive avant comptes courants, mais profondément négative une fois les associés pris en compte. Seul le scénario Bull (croissance +55% ET levier opérationnel parfait) laisse une valeur résiduelle à un actionnaire. Surtout : sur les chiffres RÉELS 2025 (EBITDA 385 k ₪, EV ~1,5 M &lt; dette 3,2 M), l'equity vaut ZÉRO aujourd'hui.</w:t>
      </w:r>
    </w:p>
    <w:p>
      <w:pPr>
        <w:pBdr>
          <w:bottom w:val="single" w:color="C4A265" w:sz="6"/>
        </w:pBdr>
        <w:spacing w:after="120" w:before="260"/>
      </w:pPr>
      <w:r>
        <w:rPr>
          <w:rFonts w:ascii="Arial" w:cs="Arial" w:eastAsia="Arial" w:hAnsi="Arial"/>
          <w:b/>
          <w:bCs/>
          <w:color w:val="C4A265"/>
          <w:sz w:val="24"/>
          <w:szCs w:val="24"/>
        </w:rPr>
        <w:t xml:space="preserve">7.  </w:t>
      </w: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Recommandation : une opération de recapitalisation</w:t>
      </w:r>
    </w:p>
    <w:p>
      <w:pPr>
        <w:spacing w:after="120" w:before="0" w:line="276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Acheter des PARTS à un prix positif en l'état serait irrationnel : la valeur d'entreprise sur les chiffres réels est inférieure à la dette bancaire nette. La seule structure créatrice de valeur est une recapitalisation conditionnée.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1F3864"/>
          <w:sz w:val="19"/>
          <w:szCs w:val="19"/>
        </w:rPr>
        <w:t xml:space="preserve">1. Injecter des fonds propres frais (2 à 3 M ₪) pour apurer les arriérés Leumi et reconstituer le fonds de roulement.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1F3864"/>
          <w:sz w:val="19"/>
          <w:szCs w:val="19"/>
        </w:rPr>
        <w:t xml:space="preserve">2. Convertir en capital, ou subordonner fermement, les 2,87 M ₪ de comptes courants associés afin d'assainir le bilan et d'aligner les associés.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1F3864"/>
          <w:sz w:val="19"/>
          <w:szCs w:val="19"/>
        </w:rPr>
        <w:t xml:space="preserve">3. Restructurer la dette bancaire (rééchelonnement Leumi/Mizrahi, sortie des lignes en défaut, baisse du coût moyen).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1F3864"/>
          <w:sz w:val="19"/>
          <w:szCs w:val="19"/>
        </w:rPr>
        <w:t xml:space="preserve">4. Comptabiliser un amortissement normal, faire AUDITER les comptes et réaliser un INVENTAIRE PHYSIQUE (condition suspensive avant toute transaction).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1F3864"/>
          <w:sz w:val="19"/>
          <w:szCs w:val="19"/>
        </w:rPr>
        <w:t xml:space="preserve">5. Cible post-recapitalisation : CA 10–12 M ₪, marge nette 5%, EBITDA 0,7–0,9 M ₪ → à 5x, EV 3,5–4,5 M ₪. L'equity redevient alors porteur de valeur.</w:t>
      </w:r>
    </w:p>
    <w:p>
      <w:pPr>
        <w:shd w:fill="EAF2E3" w:val="clear"/>
        <w:spacing w:after="120" w:before="80" w:line="276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375623"/>
          <w:sz w:val="20"/>
          <w:szCs w:val="20"/>
        </w:rPr>
        <w:t xml:space="preserve">Prix d'entrée raisonnable sur les parts aujourd'hui : symbolique (≈ 0). La valeur se crée par l'apport et la restructuration, pas par le rachat du passé.</w:t>
      </w:r>
    </w:p>
    <w:p>
      <w:pPr>
        <w:pBdr>
          <w:bottom w:val="single" w:color="C4A265" w:sz="6"/>
        </w:pBdr>
        <w:spacing w:after="120" w:before="260"/>
      </w:pPr>
      <w:r>
        <w:rPr>
          <w:rFonts w:ascii="Arial" w:cs="Arial" w:eastAsia="Arial" w:hAnsi="Arial"/>
          <w:b/>
          <w:bCs/>
          <w:color w:val="C4A265"/>
          <w:sz w:val="24"/>
          <w:szCs w:val="24"/>
        </w:rPr>
        <w:t xml:space="preserve">8.  </w:t>
      </w: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Limites et réserves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États financiers 2025 NON AUDITÉS (mention « לא מבוקר », signature des dirigeants seuls). Aucun tiers indépendant n'a validé ces chiffres.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Détail prêt-par-prêt Mizrahi indisponible (le fichier .htm fourni n'est qu'un cadre Excel-web sans données) : seuls les soldes agrégés ont été exploités.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Réconciliation stock / coût des ventes non bouclée (~1,2 M ₪). Un inventaire physique est indispensable.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Les retraitements (amortissement, goodwill, décotes) sont des estimations prudentes de l'analyste, non des chiffres comptables certifiés.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Cadre fiscal confirmé par sources publiques : TVA Israël 18% et impôt sur les sociétés 23% en 2025-2026 (PwC, Jerusalem Post). Benchmarks : NYU Stern, RetailDogma, Eagle Rock CFO (2026).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Analyse à but d'aide à la décision, non contractuelle. Ne remplace pas une due diligence comptable, fiscale et juridique formelle par un cabinet mandaté.</w:t>
      </w:r>
    </w:p>
    <w:sectPr>
      <w:headerReference w:type="default" r:id="rId7"/>
      <w:footerReference w:type="default" r:id="rId8"/>
      <w:pgSz w:w="12240" w:h="15840" w:orient="portrait"/>
      <w:pgMar w:top="1100" w:right="1440" w:bottom="11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95959"/>
        <w:sz w:val="14"/>
        <w:szCs w:val="14"/>
      </w:rPr>
      <w:t xml:space="preserve">Page </w:t>
    </w:r>
    <w:r>
      <w:rPr>
        <w:rFonts w:ascii="Arial" w:cs="Arial" w:eastAsia="Arial" w:hAnsi="Arial"/>
        <w:color w:val="59595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95959"/>
        <w:sz w:val="14"/>
        <w:szCs w:val="14"/>
      </w:rPr>
      <w:t xml:space="preserve"> — données ₪ (ILS) — exercice 2025 non audité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95959"/>
        <w:sz w:val="14"/>
        <w:szCs w:val="14"/>
      </w:rPr>
      <w:t xml:space="preserve">KB FASHION — Audit financier indépendant — confidentiel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KB Fashion 2025</dc:title>
  <dc:creator>Audit indépendant</dc:creator>
  <cp:lastModifiedBy>Un-named</cp:lastModifiedBy>
  <cp:revision>1</cp:revision>
  <dcterms:created xsi:type="dcterms:W3CDTF">2026-06-21T15:07:08.357Z</dcterms:created>
  <dcterms:modified xsi:type="dcterms:W3CDTF">2026-06-21T15:07:08.358Z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